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AE9C0" w14:textId="77777777" w:rsidR="00D361BC" w:rsidRPr="00CA55C0" w:rsidRDefault="00D361BC" w:rsidP="00D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Статистический обзор обращений граждан, поступивших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 квартале 2020 года</w:t>
      </w: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имя Губернатора Камчатского края, </w:t>
      </w:r>
      <w:r w:rsidR="0084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Правительства Камчатского края, </w:t>
      </w: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вице-губернатора Камчатского края, Вице-губернатора Камчатского края, заместителей Председателя Правительства Камчатского края</w:t>
      </w:r>
    </w:p>
    <w:p w14:paraId="532630CF" w14:textId="77777777" w:rsidR="00D361BC" w:rsidRPr="00CA55C0" w:rsidRDefault="00D361BC" w:rsidP="00D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B48AB" w14:textId="77777777" w:rsidR="00D361BC" w:rsidRPr="00CA55C0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квартале 2020 года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901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обращение, содержащее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998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количество обращений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26%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664 </w:t>
      </w:r>
      <w:r w:rsidR="008474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A7B79" w:rsidRP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2019 года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68FAF4C" w14:textId="77777777" w:rsidR="00D361BC" w:rsidRDefault="001A7B79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Также увеличилось</w:t>
      </w:r>
      <w:r w:rsidR="00D36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количество обращений на имя Президента Российской Федерации, направленных на рассмотрение в Правит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ельство Камчатского края.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2019 года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74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133</w:t>
      </w:r>
      <w:r w:rsidR="00D36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в отчетном периоде –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171</w:t>
      </w:r>
      <w:r w:rsidR="00D36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1144D519" w14:textId="77777777" w:rsidR="00D361BC" w:rsidRDefault="001A7B79" w:rsidP="001A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Увеличение количества обращений в отчетном периоде связано с </w:t>
      </w:r>
      <w:r w:rsidR="00885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распространения новой коронавирусной инфекции на территории Российской Федерации.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AFD56F" w14:textId="77777777" w:rsidR="00D361BC" w:rsidRDefault="00D361BC" w:rsidP="00D3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C9BC364" w14:textId="77777777" w:rsidR="00D361BC" w:rsidRDefault="007C5F02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 имеют простую письменную форму и поступили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почтовой связи (252 обращения), в электронном виде (444)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переданы заявителями лично в Приемную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(39). </w:t>
      </w:r>
    </w:p>
    <w:p w14:paraId="6EA3926A" w14:textId="77777777" w:rsidR="00D361BC" w:rsidRPr="00CA55C0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поступление обращений граждан осуществляется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электронные сервисы Президента Российской Федерации и Правительства Камчатского края, сопроводительным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письмами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перенаправляются из иных государственных органов.</w:t>
      </w:r>
    </w:p>
    <w:p w14:paraId="1434EA77" w14:textId="77777777" w:rsidR="00D361BC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397BE" w14:textId="77777777" w:rsidR="00D361BC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Неуклонно растет количество обращений,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приемную исполнительных органов государственной власти Камчатского края, размещенную по адресу </w:t>
      </w:r>
      <w:hyperlink r:id="rId4" w:history="1"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первом квартале 20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приемной свое право на обращение реализовало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 граждан, то через год за аналогичный период 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же сервис поступило уже 294 обращ</w:t>
      </w:r>
      <w:r w:rsidR="00EA28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14:paraId="03B13CED" w14:textId="77777777" w:rsidR="00D361BC" w:rsidRPr="00CA55C0" w:rsidRDefault="00EA28B5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17,3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 было принято и рассмотрено в порядке статьи 13 Федерального закона от</w:t>
      </w:r>
      <w:r w:rsidR="00D361BC" w:rsidRPr="00A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мая 2006 года № 59-ФЗ «О порядке рассмотрения обращений гра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Российской Федерации», то есть в ходе личных приемов граждан. </w:t>
      </w:r>
    </w:p>
    <w:p w14:paraId="417B0EF6" w14:textId="77777777" w:rsidR="00D361BC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9DC6B" w14:textId="77777777" w:rsidR="00D361BC" w:rsidRDefault="008725A9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приеме Губернатором Камчатского края, Первым вице-губернатором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Вице-Губернатором Камчатского края – Руководителем Аппарата Губернатора и Правительства Камчатского края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заместителям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Камчатского края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</w:t>
      </w:r>
      <w:r w:rsidR="0084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 обращение</w:t>
      </w:r>
      <w:r w:rsidR="00D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1BC" w:rsidRPr="0076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D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выездных приемов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</w:t>
      </w:r>
      <w:r w:rsidR="00847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районах края (в аналогичном периоде прошлого года таких обращений было 41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489C1AD" w14:textId="77777777" w:rsidR="00D361BC" w:rsidRPr="00CA55C0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2906"/>
        <w:gridCol w:w="2758"/>
      </w:tblGrid>
      <w:tr w:rsidR="00D361BC" w:rsidRPr="00671164" w14:paraId="107FF1E0" w14:textId="77777777" w:rsidTr="00CF56CB">
        <w:trPr>
          <w:cantSplit/>
          <w:trHeight w:val="684"/>
          <w:tblHeader/>
        </w:trPr>
        <w:tc>
          <w:tcPr>
            <w:tcW w:w="2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44C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23ECD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приемов в </w:t>
            </w:r>
            <w:r w:rsid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847450" w:rsidRP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квартале 2020 года</w:t>
            </w:r>
          </w:p>
        </w:tc>
      </w:tr>
      <w:tr w:rsidR="00D361BC" w:rsidRPr="00671164" w14:paraId="0C60C3B8" w14:textId="77777777" w:rsidTr="00CF56CB">
        <w:trPr>
          <w:cantSplit/>
          <w:trHeight w:val="549"/>
        </w:trPr>
        <w:tc>
          <w:tcPr>
            <w:tcW w:w="2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E915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81C7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приемов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D24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выездных</w:t>
            </w:r>
          </w:p>
        </w:tc>
      </w:tr>
      <w:tr w:rsidR="00D361BC" w:rsidRPr="00671164" w14:paraId="34C51074" w14:textId="77777777" w:rsidTr="00CF56CB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240F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 В.И. (Губернатор)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8D3" w14:textId="77777777" w:rsidR="00D361BC" w:rsidRPr="00BC7073" w:rsidRDefault="00847450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66B" w14:textId="77777777" w:rsidR="00D361BC" w:rsidRPr="00BC7073" w:rsidRDefault="00847450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47450" w:rsidRPr="00671164" w14:paraId="68D6AE36" w14:textId="77777777" w:rsidTr="00CF56CB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F3DB" w14:textId="77777777" w:rsidR="00847450" w:rsidRPr="00BC7073" w:rsidRDefault="00847450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 Р.С. (Председатель Правительства Камчатского края)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D780" w14:textId="77777777" w:rsidR="00847450" w:rsidRDefault="00847450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328" w14:textId="77777777" w:rsidR="00847450" w:rsidRDefault="00847450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61BC" w:rsidRPr="00671164" w14:paraId="34251CC2" w14:textId="77777777" w:rsidTr="00CF56CB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2ECD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Унтилова И.Л. (Первый вице-губернатор)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881" w14:textId="77777777" w:rsidR="00D361BC" w:rsidRPr="00BC7073" w:rsidRDefault="00847450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05" w14:textId="77777777" w:rsidR="00D361BC" w:rsidRPr="00BC7073" w:rsidRDefault="00847450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361BC" w:rsidRPr="00671164" w14:paraId="4C7EB78B" w14:textId="77777777" w:rsidTr="00CF56CB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0A62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Войтов А.Ю. (вице-губернатор – Руководитель Аппарата Губернатора и Правительства)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0526" w14:textId="77777777" w:rsidR="00D361BC" w:rsidRDefault="00847450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1CE" w14:textId="77777777" w:rsidR="00D361BC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61BC" w:rsidRPr="00671164" w14:paraId="7D4DAEEC" w14:textId="77777777" w:rsidTr="00CF56CB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2524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Т.Ю. (заместитель Председателя Правительства)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129" w14:textId="77777777" w:rsidR="00D361BC" w:rsidRPr="00BC7073" w:rsidRDefault="00847450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584" w14:textId="77777777" w:rsidR="00D361BC" w:rsidRPr="00BC7073" w:rsidRDefault="00847450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61BC" w:rsidRPr="00671164" w14:paraId="1171B1A9" w14:textId="77777777" w:rsidTr="00CF56CB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8B3F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Зубарь Ю.Н. (заместитель Председателя Правительства)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EF0" w14:textId="77777777" w:rsidR="00D361BC" w:rsidRPr="00BC7073" w:rsidRDefault="00847450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8DE" w14:textId="77777777" w:rsidR="00D361BC" w:rsidRPr="00BC7073" w:rsidRDefault="00847450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61BC" w:rsidRPr="00671164" w14:paraId="3889C52B" w14:textId="77777777" w:rsidTr="00CF56CB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5F09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М.А. (заместитель Председателя Правительства)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B06A" w14:textId="77777777" w:rsidR="00D361BC" w:rsidRPr="00BC7073" w:rsidRDefault="00EC356A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BAB" w14:textId="77777777" w:rsidR="00D361BC" w:rsidRPr="00BC7073" w:rsidRDefault="00EC356A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61BC" w:rsidRPr="00671164" w14:paraId="18F1D572" w14:textId="77777777" w:rsidTr="00CF56CB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DAD0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 С.И. (заместитель Председателя Правительства)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F62" w14:textId="77777777" w:rsidR="00D361BC" w:rsidRPr="00BC7073" w:rsidRDefault="00847450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9EE" w14:textId="77777777" w:rsidR="00D361BC" w:rsidRPr="00BC7073" w:rsidRDefault="00847450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1BC" w:rsidRPr="00671164" w14:paraId="7E52D0D9" w14:textId="77777777" w:rsidTr="00CF56CB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42EB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 В</w:t>
            </w: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(заместитель Председателя Правительства)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F64D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C5F" w14:textId="77777777" w:rsidR="00D361BC" w:rsidRPr="00BC7073" w:rsidRDefault="00847450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361BC" w:rsidRPr="00671164" w14:paraId="54D04093" w14:textId="77777777" w:rsidTr="00CF56CB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1AF4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Пригорнев В.Б. (заместитель Председателя Правительства)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1E0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30B" w14:textId="77777777" w:rsidR="00D361BC" w:rsidRPr="00BC7073" w:rsidRDefault="00847450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1BC" w:rsidRPr="00BC7073" w14:paraId="57CE8B61" w14:textId="77777777" w:rsidTr="00CF56CB">
        <w:trPr>
          <w:cantSplit/>
          <w:trHeight w:val="327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309A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EAF" w14:textId="77777777" w:rsidR="00D361BC" w:rsidRPr="00BC7073" w:rsidRDefault="00EC356A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3825" w14:textId="77777777" w:rsidR="00D361BC" w:rsidRPr="00BC7073" w:rsidRDefault="00EC356A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14:paraId="29C5DAF6" w14:textId="77777777" w:rsidR="00D361BC" w:rsidRPr="00CA55C0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DD73A" w14:textId="77777777" w:rsidR="00D361BC" w:rsidRPr="00BC7073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 от 2 мая 2006 года № 59-ФЗ «О порядке рассмотрения обращений граждан Российской Федерации» личный прием граждан в государственном органе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не только должностным, но и уполномоченным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-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отдела по организации работы с обращениями граждан Главного контрольного управления Губернатора и Правительства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амчатского края (далее – отдел).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Приемной граждан, расположенной в холле первого этажа здания Правительства Камчатского края.</w:t>
      </w:r>
    </w:p>
    <w:p w14:paraId="5EE686F6" w14:textId="77777777" w:rsidR="00D361BC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таких приемов гражданам даются разъяснения по порядку рассмотрения обращений, компетенции государственных органов и органов местного самоуправления, доводится до сведения информация справочного характера, производится запись на прием к должностным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E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отдела оформлено </w:t>
      </w:r>
      <w:r w:rsidR="00EC3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1F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граждан.</w:t>
      </w:r>
    </w:p>
    <w:p w14:paraId="4CD482BA" w14:textId="77777777" w:rsidR="008725A9" w:rsidRDefault="008725A9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800FA" w14:textId="77777777" w:rsidR="009E218D" w:rsidRDefault="00DB72E7" w:rsidP="00DB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32,9</w:t>
      </w:r>
      <w:r w:rsidRPr="007F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отчетном периоде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относятся к тематике «Социальная сфера».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поле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органов и органов местного самоуправления в сферах здравоохранения, образования,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защиты.</w:t>
      </w:r>
    </w:p>
    <w:p w14:paraId="3B3A1D69" w14:textId="77777777" w:rsidR="00DB72E7" w:rsidRDefault="009E218D" w:rsidP="00DB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9,8 %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просьбы об оказании финансовой помощи, предоставлении мер социальной поддержки и различного рода 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 незащищенным слоям населения,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бесплатной юридической помощи, социальной защиты инвалидов, многодетных семей, пенси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онеров и иных категорий граждан.</w:t>
      </w:r>
    </w:p>
    <w:p w14:paraId="3F870D87" w14:textId="77777777" w:rsidR="009E218D" w:rsidRDefault="009E218D" w:rsidP="009E2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общего, дошкольного и профессионального образования подняты в </w:t>
      </w:r>
      <w:r w:rsidRPr="009E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3,5 %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</w:t>
      </w:r>
    </w:p>
    <w:p w14:paraId="3B1EB95A" w14:textId="77777777" w:rsidR="009E218D" w:rsidRDefault="009E218D" w:rsidP="009E2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Доля обращений с жалобами на работу медицинских учреждений, качество предоставления медицинских услуг, ненадлежащую организацию оказания врачебной помощи населению, в том числе в муниципальных районах края, по-прежнему остается высокой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11,4</w:t>
      </w:r>
      <w:r w:rsidRPr="0073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B98C36" w14:textId="77777777" w:rsidR="00DB72E7" w:rsidRDefault="00DB72E7" w:rsidP="00DB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Просьбы об оказании содействия в обеспечении благоустройства придомовых территорий, жалобы на состояние межквартальных и внутридомовых проездов, отсутствие уличного освещения, тротуаров звучали в </w:t>
      </w:r>
      <w:r w:rsidR="009E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9,1</w:t>
      </w:r>
      <w:r w:rsidRPr="0073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73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D44B746" w14:textId="77777777" w:rsidR="00D361BC" w:rsidRDefault="002724C8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21,7 %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1BC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рассматриваемом периоде обращений относится к жилищной сфере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61BC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F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относится к реализации права граждан на жилье. </w:t>
      </w:r>
      <w:r w:rsidR="00D361BC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как правило, просьбы о содействии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условий, </w:t>
      </w:r>
      <w:r w:rsidR="00D361BC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ветхого и аварийного жилья, общежитий, предоставлении жилья по договорам социального найма гражданам, состоящим на учете в органе местного самоуправления. </w:t>
      </w:r>
    </w:p>
    <w:p w14:paraId="5037F975" w14:textId="77777777" w:rsidR="00D361BC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жалобами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коммунальных услуг ненадлежащего качества, состояние жилищно-коммунальной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работу управляющих компаний обратилось </w:t>
      </w:r>
      <w:r w:rsidR="00272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7,6</w:t>
      </w:r>
      <w:r w:rsidRPr="007F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с размерами оплаты за жилищно-коммунальные услуги и порядком ее начисления не согласны </w:t>
      </w:r>
      <w:r w:rsidR="00272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3,5 </w:t>
      </w:r>
      <w:r w:rsidRPr="007F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обратившихся в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квартале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14:paraId="0E69CF41" w14:textId="77777777" w:rsidR="002724C8" w:rsidRDefault="002724C8" w:rsidP="0027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иные данные о процентной доле вопросов, по которым отмечена повышенная активность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1% от общего количества)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обратившихся в</w:t>
      </w:r>
      <w:r w:rsidR="0087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периоде, приведены в д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</w:t>
      </w:r>
      <w:r w:rsidR="0087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Приложении)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C40AA9C" w14:textId="77777777" w:rsidR="008725A9" w:rsidRDefault="008725A9" w:rsidP="00872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DECC7" w14:textId="77777777" w:rsidR="008725A9" w:rsidRPr="005D03CC" w:rsidRDefault="008725A9" w:rsidP="00872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на подавляющее большинство рассмотренных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квартале2020 года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гражданам даны подробные разъяснения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14:paraId="07D15A6D" w14:textId="77777777" w:rsidR="008725A9" w:rsidRPr="005D03CC" w:rsidRDefault="008725A9" w:rsidP="00872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правовых оснований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обращения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с результатом «отказано».</w:t>
      </w:r>
    </w:p>
    <w:p w14:paraId="0586A9B2" w14:textId="77777777" w:rsidR="008725A9" w:rsidRPr="005D03CC" w:rsidRDefault="008725A9" w:rsidP="00872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факты нашли свое подтверждение в ходе рассмотрения, по ним проводятся (либо проведены) соответствующие мероприятия.</w:t>
      </w:r>
    </w:p>
    <w:p w14:paraId="1A28B795" w14:textId="77777777" w:rsidR="008725A9" w:rsidRDefault="008725A9" w:rsidP="00872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 обращения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положительно, действенные меры, необходимые для решения вопросов, приняты, изложенные просьбы удовлетворены.</w:t>
      </w:r>
    </w:p>
    <w:p w14:paraId="27177F29" w14:textId="77777777" w:rsidR="008725A9" w:rsidRDefault="008725A9" w:rsidP="0087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B760BEE" w14:textId="77777777" w:rsidR="008725A9" w:rsidRDefault="008725A9" w:rsidP="0027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4809B" w14:textId="77777777" w:rsidR="008725A9" w:rsidRDefault="008725A9" w:rsidP="008725A9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49B6774D" w14:textId="77777777" w:rsidR="008725A9" w:rsidRDefault="008725A9" w:rsidP="008725A9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780B9944" w14:textId="77777777" w:rsidR="008725A9" w:rsidRDefault="008725A9" w:rsidP="008725A9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7003ACCD" w14:textId="77777777" w:rsidR="008725A9" w:rsidRDefault="008725A9" w:rsidP="008725A9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58093247" w14:textId="77777777" w:rsidR="008725A9" w:rsidRDefault="008725A9" w:rsidP="008725A9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73DAA6BB" w14:textId="77777777" w:rsidR="008725A9" w:rsidRDefault="008725A9" w:rsidP="008725A9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263B4514" w14:textId="77777777" w:rsidR="008725A9" w:rsidRDefault="008725A9" w:rsidP="008725A9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4AD5CE88" w14:textId="77777777" w:rsidR="008725A9" w:rsidRDefault="008725A9" w:rsidP="008725A9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07610F13" w14:textId="77777777" w:rsidR="008725A9" w:rsidRDefault="008725A9" w:rsidP="008725A9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318C134F" w14:textId="77777777" w:rsidR="008725A9" w:rsidRDefault="008725A9" w:rsidP="008725A9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65CD9B82" w14:textId="77777777" w:rsidR="008725A9" w:rsidRDefault="008725A9" w:rsidP="008725A9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1BD3B3F4" w14:textId="77777777" w:rsidR="008725A9" w:rsidRDefault="008725A9" w:rsidP="008725A9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23AB566F" w14:textId="77777777" w:rsidR="008725A9" w:rsidRDefault="008725A9" w:rsidP="008725A9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7F1F9C0A" w14:textId="77777777" w:rsidR="008725A9" w:rsidRDefault="008725A9" w:rsidP="008725A9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7AB222EA" w14:textId="77777777" w:rsidR="008725A9" w:rsidRDefault="008725A9" w:rsidP="008725A9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1EF271CE" w14:textId="77777777" w:rsidR="008725A9" w:rsidRPr="008725A9" w:rsidRDefault="008725A9" w:rsidP="008725A9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ru-RU"/>
        </w:rPr>
      </w:pPr>
      <w:r w:rsidRPr="008725A9">
        <w:rPr>
          <w:rFonts w:eastAsia="Times New Roman" w:cstheme="minorHAnsi"/>
          <w:bCs/>
          <w:sz w:val="24"/>
          <w:szCs w:val="24"/>
          <w:lang w:eastAsia="ru-RU"/>
        </w:rPr>
        <w:lastRenderedPageBreak/>
        <w:t>Приложение</w:t>
      </w:r>
    </w:p>
    <w:p w14:paraId="5604BCFB" w14:textId="77777777" w:rsidR="008725A9" w:rsidRDefault="008725A9" w:rsidP="008725A9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  <w:r w:rsidRPr="00C056E8">
        <w:rPr>
          <w:rFonts w:eastAsia="Times New Roman" w:cstheme="minorHAnsi"/>
          <w:bCs/>
          <w:i/>
          <w:sz w:val="24"/>
          <w:szCs w:val="24"/>
          <w:lang w:eastAsia="ru-RU"/>
        </w:rPr>
        <w:t xml:space="preserve">Вопросы тематического классификатора, по которым отмечена повышенная активность граждан, обратившихся в </w:t>
      </w:r>
      <w:r>
        <w:rPr>
          <w:rFonts w:eastAsia="Times New Roman" w:cstheme="minorHAnsi"/>
          <w:bCs/>
          <w:i/>
          <w:sz w:val="24"/>
          <w:szCs w:val="24"/>
          <w:lang w:eastAsia="ru-RU"/>
        </w:rPr>
        <w:t>первом квартале 2020 года</w:t>
      </w:r>
    </w:p>
    <w:p w14:paraId="0ED2DE86" w14:textId="77777777" w:rsidR="008725A9" w:rsidRPr="00C056E8" w:rsidRDefault="008725A9" w:rsidP="008725A9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  <w:r w:rsidRPr="00C056E8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(более 1% от общей доли поступивших вопросов)</w:t>
      </w:r>
    </w:p>
    <w:p w14:paraId="4AAF7F63" w14:textId="77777777" w:rsidR="00D361BC" w:rsidRDefault="008725A9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EF6B8AE" wp14:editId="6A17C75F">
            <wp:simplePos x="0" y="0"/>
            <wp:positionH relativeFrom="margin">
              <wp:posOffset>90805</wp:posOffset>
            </wp:positionH>
            <wp:positionV relativeFrom="paragraph">
              <wp:posOffset>221615</wp:posOffset>
            </wp:positionV>
            <wp:extent cx="6782435" cy="5342890"/>
            <wp:effectExtent l="0" t="0" r="18415" b="1016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6E875" w14:textId="77777777" w:rsidR="00D361BC" w:rsidRDefault="00D361BC" w:rsidP="00D361BC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</w:pPr>
    </w:p>
    <w:p w14:paraId="0900B523" w14:textId="77777777" w:rsidR="00D361BC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1B104" w14:textId="77777777" w:rsidR="00D361BC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0D439" w14:textId="77777777" w:rsidR="00D361BC" w:rsidRPr="00D87973" w:rsidRDefault="00D361BC" w:rsidP="00D361B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BA6C97" w14:textId="77777777" w:rsidR="00D361BC" w:rsidRDefault="00D361BC" w:rsidP="00D361BC"/>
    <w:p w14:paraId="2FE4CD8D" w14:textId="77777777" w:rsidR="00A91A5C" w:rsidRDefault="009E27D2"/>
    <w:sectPr w:rsidR="00A91A5C" w:rsidSect="00181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BC"/>
    <w:rsid w:val="00070D40"/>
    <w:rsid w:val="001A7B79"/>
    <w:rsid w:val="002724C8"/>
    <w:rsid w:val="007C5F02"/>
    <w:rsid w:val="00847450"/>
    <w:rsid w:val="008725A9"/>
    <w:rsid w:val="00885F2C"/>
    <w:rsid w:val="008A4BD5"/>
    <w:rsid w:val="009E218D"/>
    <w:rsid w:val="009E27D2"/>
    <w:rsid w:val="00AA09A2"/>
    <w:rsid w:val="00AB5DCF"/>
    <w:rsid w:val="00AD75FA"/>
    <w:rsid w:val="00D361BC"/>
    <w:rsid w:val="00DB72E7"/>
    <w:rsid w:val="00EA28B5"/>
    <w:rsid w:val="00EC356A"/>
    <w:rsid w:val="00E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44FCD-B7CA-4FB8-9153-5C5B6279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1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http://www.kamgov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365856368262606"/>
          <c:y val="0.14573037452767421"/>
          <c:w val="0.55713366988130497"/>
          <c:h val="0.76997125163371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glow rad="63500">
                <a:schemeClr val="accent1">
                  <a:alpha val="40000"/>
                </a:schemeClr>
              </a:glow>
              <a:outerShdw blurRad="50800" dist="50800" dir="5400000" algn="ctr" rotWithShape="0">
                <a:srgbClr val="000000">
                  <a:alpha val="77000"/>
                </a:srgbClr>
              </a:outerShdw>
              <a:softEdge rad="12700"/>
            </a:effectLst>
            <a:scene3d>
              <a:camera prst="orthographicFront"/>
              <a:lightRig rig="balanced" dir="t"/>
            </a:scene3d>
            <a:sp3d prstMaterial="dkEdge">
              <a:bevelT w="222250" prst="riblet"/>
              <a:bevelB prst="relaxedInset"/>
            </a:sp3d>
          </c:spPr>
          <c:explosion val="11"/>
          <c:dLbls>
            <c:dLbl>
              <c:idx val="0"/>
              <c:layout>
                <c:manualLayout>
                  <c:x val="9.8806805133183406E-2"/>
                  <c:y val="6.5860420276228154E-2"/>
                </c:manualLayout>
              </c:layout>
              <c:tx>
                <c:rich>
                  <a:bodyPr/>
                  <a:lstStyle/>
                  <a:p>
                    <a:pPr marL="0" indent="0">
                      <a:buNone/>
                      <a:defRPr sz="1000" baseline="0"/>
                    </a:pPr>
                    <a:r>
                      <a:rPr lang="ru-RU" sz="1000" i="1" baseline="0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Вопросы дошкольного, общего и профессионального образования</a:t>
                    </a:r>
                    <a:r>
                      <a:rPr lang="ru-RU" sz="1000" i="1" baseline="0" dirty="0">
                        <a:solidFill>
                          <a:schemeClr val="accent1"/>
                        </a:solidFill>
                      </a:rPr>
                      <a:t>; </a:t>
                    </a:r>
                    <a:endParaRPr lang="ru-RU" sz="1000" i="1" baseline="0" dirty="0" smtClean="0">
                      <a:solidFill>
                        <a:schemeClr val="accent1"/>
                      </a:solidFill>
                    </a:endParaRPr>
                  </a:p>
                  <a:p>
                    <a:pPr marL="0" indent="0">
                      <a:buNone/>
                      <a:defRPr sz="1000" baseline="0"/>
                    </a:pPr>
                    <a:r>
                      <a:rPr lang="ru-RU" sz="1000" baseline="0" dirty="0" smtClean="0"/>
                      <a:t>3,5 %</a:t>
                    </a:r>
                    <a:endParaRPr lang="ru-RU" sz="1000" baseline="0" dirty="0"/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952223428838151"/>
                      <c:h val="0.1922921020102458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5284783564490987E-2"/>
                  <c:y val="0.139676299909715"/>
                </c:manualLayout>
              </c:layout>
              <c:tx>
                <c:rich>
                  <a:bodyPr/>
                  <a:lstStyle/>
                  <a:p>
                    <a:r>
                      <a:rPr lang="ru-RU" i="1" dirty="0" smtClean="0"/>
                      <a:t> </a:t>
                    </a:r>
                    <a:r>
                      <a:rPr lang="ru-RU" sz="1000" i="1" dirty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Социальное обеспечение, материальная помощь многодетным, пенсионерам и малообеспеченным слоям населения</a:t>
                    </a:r>
                    <a:r>
                      <a:rPr lang="ru-RU" sz="1000" i="1" dirty="0">
                        <a:solidFill>
                          <a:schemeClr val="accent1"/>
                        </a:solidFill>
                      </a:rPr>
                      <a:t>; </a:t>
                    </a:r>
                  </a:p>
                  <a:p>
                    <a:r>
                      <a:rPr lang="ru-RU" sz="1000" i="0" dirty="0" smtClean="0">
                        <a:solidFill>
                          <a:sysClr val="windowText" lastClr="000000"/>
                        </a:solidFill>
                      </a:rPr>
                      <a:t>9,8</a:t>
                    </a:r>
                    <a:r>
                      <a:rPr lang="ru-RU" sz="1000" i="0" dirty="0" smtClean="0"/>
                      <a:t>%</a:t>
                    </a:r>
                    <a:endParaRPr lang="ru-RU" sz="1000" i="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531618342940722E-2"/>
                  <c:y val="4.0621147793796344E-2"/>
                </c:manualLayout>
              </c:layout>
              <c:tx>
                <c:rich>
                  <a:bodyPr/>
                  <a:lstStyle/>
                  <a:p>
                    <a:r>
                      <a:rPr lang="ru-RU" dirty="0" smtClean="0">
                        <a:solidFill>
                          <a:schemeClr val="accent1"/>
                        </a:solidFill>
                      </a:rPr>
                      <a:t> </a:t>
                    </a:r>
                    <a:r>
                      <a:rPr lang="ru-RU" sz="1000" i="1" dirty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Благоустройство городов и поселков. Обустройство придомовых территорий</a:t>
                    </a:r>
                    <a:r>
                      <a:rPr lang="ru-RU" sz="1000" i="1" dirty="0">
                        <a:solidFill>
                          <a:schemeClr val="accent1"/>
                        </a:solidFill>
                      </a:rPr>
                      <a:t>; </a:t>
                    </a:r>
                    <a:endParaRPr lang="ru-RU" sz="1000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000" baseline="0" dirty="0" smtClean="0"/>
                      <a:t>9,1</a:t>
                    </a:r>
                    <a:r>
                      <a:rPr lang="ru-RU" sz="1000" dirty="0" smtClean="0"/>
                      <a:t>%</a:t>
                    </a:r>
                    <a:endParaRPr lang="ru-RU" sz="10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2022049682918948"/>
                  <c:y val="-2.1593608291945584E-3"/>
                </c:manualLayout>
              </c:layout>
              <c:tx>
                <c:rich>
                  <a:bodyPr/>
                  <a:lstStyle/>
                  <a:p>
                    <a:r>
                      <a:rPr lang="ru-RU" sz="1000" i="1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Работа медицинских учреждений. Лечение, оказание медицинской помощи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; </a:t>
                    </a:r>
                    <a:endParaRPr lang="ru-RU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000" i="1" baseline="0" dirty="0" smtClean="0">
                        <a:solidFill>
                          <a:sysClr val="windowText" lastClr="000000"/>
                        </a:solidFill>
                      </a:rPr>
                      <a:t>11,4 </a:t>
                    </a:r>
                    <a:r>
                      <a:rPr lang="ru-RU" sz="1000" dirty="0" smtClean="0">
                        <a:solidFill>
                          <a:sysClr val="windowText" lastClr="000000"/>
                        </a:solidFill>
                      </a:rPr>
                      <a:t>%</a:t>
                    </a:r>
                    <a:endParaRPr lang="ru-RU" sz="1000" dirty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229588224813547"/>
                      <c:h val="0.1534795464322088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1.7207938915576703E-3"/>
                  <c:y val="4.4303878178043633E-2"/>
                </c:manualLayout>
              </c:layout>
              <c:tx>
                <c:rich>
                  <a:bodyPr/>
                  <a:lstStyle/>
                  <a:p>
                    <a:r>
                      <a:rPr lang="ru-RU" sz="1000" i="1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Переселение </a:t>
                    </a:r>
                    <a:r>
                      <a:rPr lang="ru-RU" sz="1000" i="1" dirty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из подвалов, бараков, общежитий, аварийного и ветхого жилья. Улучшение жилищных условий</a:t>
                    </a:r>
                    <a:r>
                      <a:rPr lang="ru-RU" sz="1000" i="1" dirty="0">
                        <a:solidFill>
                          <a:schemeClr val="accent1"/>
                        </a:solidFill>
                      </a:rPr>
                      <a:t>; </a:t>
                    </a:r>
                    <a:endParaRPr lang="ru-RU" sz="1000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000" dirty="0" smtClean="0"/>
                      <a:t>10,6%</a:t>
                    </a:r>
                    <a:endParaRPr lang="ru-RU" sz="10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684208814860027"/>
                      <c:h val="0.1419679428432491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2.9642962873639767E-2"/>
                  <c:y val="-5.8027041318604297E-2"/>
                </c:manualLayout>
              </c:layout>
              <c:tx>
                <c:rich>
                  <a:bodyPr/>
                  <a:lstStyle/>
                  <a:p>
                    <a:r>
                      <a:rPr lang="ru-RU" sz="1000" i="1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Оплата </a:t>
                    </a:r>
                    <a:r>
                      <a:rPr lang="ru-RU" sz="1000" i="1" dirty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жилищно-коммунальных услуг. Тарифы и льготы</a:t>
                    </a:r>
                    <a:r>
                      <a:rPr lang="ru-RU" sz="1000" i="1" dirty="0" smtClean="0">
                        <a:solidFill>
                          <a:schemeClr val="accent1"/>
                        </a:solidFill>
                      </a:rPr>
                      <a:t>;</a:t>
                    </a:r>
                  </a:p>
                  <a:p>
                    <a:r>
                      <a:rPr lang="ru-RU" sz="1000" dirty="0" smtClean="0"/>
                      <a:t> 3,5</a:t>
                    </a:r>
                    <a:r>
                      <a:rPr lang="ru-RU" sz="1000" baseline="0" dirty="0" smtClean="0"/>
                      <a:t> </a:t>
                    </a:r>
                    <a:r>
                      <a:rPr lang="ru-RU" sz="1000" dirty="0" smtClean="0"/>
                      <a:t>%</a:t>
                    </a:r>
                    <a:endParaRPr lang="ru-RU" sz="1000" dirty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54923749475823"/>
                      <c:h val="0.15219175124163245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1.5362358505840629E-2"/>
                  <c:y val="-1.8537347590782419E-2"/>
                </c:manualLayout>
              </c:layout>
              <c:tx>
                <c:rich>
                  <a:bodyPr/>
                  <a:lstStyle/>
                  <a:p>
                    <a:r>
                      <a:rPr lang="ru-RU" sz="1000" i="1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Предоставление </a:t>
                    </a:r>
                    <a:r>
                      <a:rPr lang="ru-RU" sz="1000" i="1" dirty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коммунальных </a:t>
                    </a:r>
                    <a:r>
                      <a:rPr lang="ru-RU" sz="1000" i="1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услуг </a:t>
                    </a:r>
                  </a:p>
                  <a:p>
                    <a:r>
                      <a:rPr lang="ru-RU" sz="1000" i="1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 </a:t>
                    </a:r>
                    <a:r>
                      <a:rPr lang="ru-RU" sz="1000" i="1" dirty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ненадлежащего качества. Работа управляющих компаний</a:t>
                    </a:r>
                    <a:r>
                      <a:rPr lang="ru-RU" sz="1000" i="1" dirty="0">
                        <a:solidFill>
                          <a:schemeClr val="accent1"/>
                        </a:solidFill>
                      </a:rPr>
                      <a:t>; </a:t>
                    </a:r>
                    <a:endParaRPr lang="ru-RU" sz="1000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000" dirty="0" smtClean="0"/>
                      <a:t>7,6%</a:t>
                    </a:r>
                    <a:endParaRPr lang="ru-RU" sz="10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957577325978016"/>
                      <c:h val="0.19655590449164057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2.8452003595911175E-2"/>
                  <c:y val="-1.4096715561170276E-2"/>
                </c:manualLayout>
              </c:layout>
              <c:tx>
                <c:rich>
                  <a:bodyPr/>
                  <a:lstStyle/>
                  <a:p>
                    <a:fld id="{D15EC420-C247-461B-AD2F-928496B3ABE4}" type="CATEGORYNAME">
                      <a:rPr lang="ru-RU" i="1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  <a:p>
                    <a:fld id="{8CE32319-8C37-427D-B992-FDB5F2946449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1.413630725394463E-2"/>
                  <c:y val="-2.9271241224408599E-2"/>
                </c:manualLayout>
              </c:layout>
              <c:tx>
                <c:rich>
                  <a:bodyPr/>
                  <a:lstStyle/>
                  <a:p>
                    <a:fld id="{AA406290-79A6-43C4-9ECF-E8C537F0288D}" type="CATEGORYNAME">
                      <a:rPr lang="ru-RU" i="1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; </a:t>
                    </a:r>
                  </a:p>
                  <a:p>
                    <a:fld id="{8166FC8D-E64D-439B-82D2-575C4E97FFD5}" type="VALU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1. Вопросы дошкольного, общего и профессионального образования</c:v>
                </c:pt>
                <c:pt idx="1">
                  <c:v>2. Социальное обеспечение, материальная помощь многодетный, пенсионерам и малообеспеченным слоям населения</c:v>
                </c:pt>
                <c:pt idx="2">
                  <c:v>3. Благоустройство городов и поселков. Обустройство придомовых территорий</c:v>
                </c:pt>
                <c:pt idx="3">
                  <c:v>4. Работа медицинских учреждений. Лечение и оказание медицинской помощи</c:v>
                </c:pt>
                <c:pt idx="4">
                  <c:v>5. Переселение из подвалов, бараков, общежитий, аварийного и ветхого жилья. Улучшение жилищных условий</c:v>
                </c:pt>
                <c:pt idx="5">
                  <c:v>6. Оплата жилищно-коммунальных услуг. Тарифы и льготы</c:v>
                </c:pt>
                <c:pt idx="6">
                  <c:v>8. Предоставление коммунальных услуг ненадлежащего качества</c:v>
                </c:pt>
                <c:pt idx="7">
                  <c:v>Транспорное обслуживание население, дорожное хозяйство</c:v>
                </c:pt>
                <c:pt idx="8">
                  <c:v>Условия развития и ведения предпринимательской деятельности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3.5</c:v>
                </c:pt>
                <c:pt idx="1">
                  <c:v>9.8000000000000007</c:v>
                </c:pt>
                <c:pt idx="2">
                  <c:v>9.1</c:v>
                </c:pt>
                <c:pt idx="3">
                  <c:v>11.4</c:v>
                </c:pt>
                <c:pt idx="4">
                  <c:v>10.6</c:v>
                </c:pt>
                <c:pt idx="5">
                  <c:v>3.5</c:v>
                </c:pt>
                <c:pt idx="6">
                  <c:v>7.6</c:v>
                </c:pt>
                <c:pt idx="7">
                  <c:v>3.1</c:v>
                </c:pt>
                <c:pt idx="8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3"/>
      </c:pieChart>
      <c:spPr>
        <a:effectLst>
          <a:glow rad="63500">
            <a:srgbClr val="C00000">
              <a:alpha val="40000"/>
            </a:srgbClr>
          </a:glow>
        </a:effectLst>
        <a:scene3d>
          <a:camera prst="orthographicFront"/>
          <a:lightRig rig="threePt" dir="t"/>
        </a:scene3d>
        <a:sp3d/>
      </c:spPr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2020-05-19T02:58:00Z</cp:lastPrinted>
  <dcterms:created xsi:type="dcterms:W3CDTF">2020-05-19T03:29:00Z</dcterms:created>
  <dcterms:modified xsi:type="dcterms:W3CDTF">2020-05-19T03:29:00Z</dcterms:modified>
</cp:coreProperties>
</file>